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26.08.2020 г. № 28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1B625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E11F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B625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 </w:t>
      </w:r>
      <w:r w:rsidR="001B625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E11F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:rsidTr="000923CE">
        <w:trPr>
          <w:trHeight w:val="1418"/>
        </w:trPr>
        <w:tc>
          <w:tcPr>
            <w:tcW w:w="4267" w:type="dxa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33039521" r:id="rId8"/>
              </w:object>
            </w:r>
          </w:p>
        </w:tc>
        <w:tc>
          <w:tcPr>
            <w:tcW w:w="806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:rsidTr="000923CE">
        <w:trPr>
          <w:cantSplit/>
          <w:trHeight w:val="2393"/>
        </w:trPr>
        <w:tc>
          <w:tcPr>
            <w:tcW w:w="4267" w:type="dxa"/>
          </w:tcPr>
          <w:p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cantSplit/>
          <w:trHeight w:val="679"/>
        </w:trPr>
        <w:tc>
          <w:tcPr>
            <w:tcW w:w="4267" w:type="dxa"/>
          </w:tcPr>
          <w:p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711A43" w:rsidRPr="00711A43" w:rsidRDefault="002E11F9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26.08.2020 г. № 28 «Об утверждении </w:t>
            </w:r>
            <w:r w:rsidR="00711A43"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:rsidR="00711A43" w:rsidRDefault="00711A43"/>
    <w:p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1A43" w:rsidRPr="009C7D3D" w:rsidRDefault="00711A43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11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26.08.2020 г. № 28 читать в новой редакции:</w:t>
      </w:r>
    </w:p>
    <w:p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1593"/>
      </w:tblGrid>
      <w:tr w:rsidR="00711A43" w:rsidRPr="00DF306E" w:rsidTr="000923CE">
        <w:tc>
          <w:tcPr>
            <w:tcW w:w="2613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79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Сотрудники, не более</w:t>
            </w:r>
            <w:r w:rsidR="007575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кабинет</w:t>
            </w:r>
          </w:p>
        </w:tc>
        <w:tc>
          <w:tcPr>
            <w:tcW w:w="1659" w:type="dxa"/>
          </w:tcPr>
          <w:p w:rsidR="00711A43" w:rsidRPr="00DF306E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93" w:type="dxa"/>
          </w:tcPr>
          <w:p w:rsidR="00711A43" w:rsidRDefault="00711A43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одной единицы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</w:p>
          <w:p w:rsidR="00711A43" w:rsidRPr="00DF306E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711A43"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11A43"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более руб.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монитор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686E78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711A43"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686E78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711A4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711A43"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711A43" w:rsidRPr="00DF306E" w:rsidRDefault="00686E78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711A43"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35000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EB2954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>Комму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татор</w:t>
            </w: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11A4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686E78" w:rsidRPr="00DF306E" w:rsidTr="000923CE">
        <w:tc>
          <w:tcPr>
            <w:tcW w:w="2613" w:type="dxa"/>
          </w:tcPr>
          <w:p w:rsidR="00686E78" w:rsidRPr="00EB2954" w:rsidRDefault="00686E78" w:rsidP="00686E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Веб-камера</w:t>
            </w:r>
          </w:p>
        </w:tc>
        <w:tc>
          <w:tcPr>
            <w:tcW w:w="187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</w:tr>
      <w:tr w:rsidR="001B6255" w:rsidRPr="00DF306E" w:rsidTr="000923CE">
        <w:tc>
          <w:tcPr>
            <w:tcW w:w="2613" w:type="dxa"/>
          </w:tcPr>
          <w:p w:rsidR="001B6255" w:rsidRDefault="001B6255" w:rsidP="00686E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879" w:type="dxa"/>
          </w:tcPr>
          <w:p w:rsidR="001B6255" w:rsidRDefault="001B6255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1B6255" w:rsidRDefault="001B6255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B6255" w:rsidRDefault="001B6255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1B6255" w:rsidRDefault="001B6255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</w:tr>
      <w:tr w:rsidR="00686E78" w:rsidRPr="00DF306E" w:rsidTr="000923CE">
        <w:tc>
          <w:tcPr>
            <w:tcW w:w="2613" w:type="dxa"/>
          </w:tcPr>
          <w:p w:rsidR="00686E78" w:rsidRPr="00EB2954" w:rsidRDefault="00686E78" w:rsidP="00686E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Внешний жесткий диск</w:t>
            </w:r>
          </w:p>
        </w:tc>
        <w:tc>
          <w:tcPr>
            <w:tcW w:w="187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686E78" w:rsidRDefault="00686E78" w:rsidP="00686E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</w:tbl>
    <w:p w:rsidR="00711A43" w:rsidRDefault="00711A43" w:rsidP="00711A4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86E78" w:rsidRPr="009C7D3D" w:rsidRDefault="00686E78" w:rsidP="004F792E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22426558"/>
      <w:r>
        <w:rPr>
          <w:rFonts w:ascii="Times New Roman" w:hAnsi="Times New Roman"/>
          <w:spacing w:val="-1"/>
          <w:sz w:val="28"/>
          <w:szCs w:val="28"/>
        </w:rPr>
        <w:t xml:space="preserve">Таблицу </w:t>
      </w:r>
      <w:r w:rsidR="001B6255">
        <w:rPr>
          <w:rFonts w:ascii="Times New Roman" w:hAnsi="Times New Roman"/>
          <w:spacing w:val="-1"/>
          <w:sz w:val="28"/>
          <w:szCs w:val="28"/>
        </w:rPr>
        <w:t>13</w:t>
      </w:r>
      <w:r>
        <w:rPr>
          <w:rFonts w:ascii="Times New Roman" w:hAnsi="Times New Roman"/>
          <w:spacing w:val="-1"/>
          <w:sz w:val="28"/>
          <w:szCs w:val="28"/>
        </w:rPr>
        <w:t xml:space="preserve"> блока </w:t>
      </w:r>
      <w:r w:rsidR="001B6255">
        <w:rPr>
          <w:rFonts w:ascii="Times New Roman" w:hAnsi="Times New Roman"/>
          <w:spacing w:val="-1"/>
          <w:sz w:val="28"/>
          <w:szCs w:val="28"/>
        </w:rPr>
        <w:t xml:space="preserve">«Нормативы используемых товаров на обеспечение деятельности управления и их предельная стоимость» </w:t>
      </w:r>
      <w:r>
        <w:rPr>
          <w:rFonts w:ascii="Times New Roman" w:hAnsi="Times New Roman"/>
          <w:spacing w:val="-1"/>
          <w:sz w:val="28"/>
          <w:szCs w:val="28"/>
        </w:rPr>
        <w:t xml:space="preserve">раздела </w:t>
      </w:r>
      <w:r w:rsidR="001B6255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="001B6255">
        <w:rPr>
          <w:rFonts w:ascii="Times New Roman" w:hAnsi="Times New Roman"/>
          <w:spacing w:val="-1"/>
          <w:sz w:val="28"/>
          <w:szCs w:val="28"/>
        </w:rPr>
        <w:t xml:space="preserve"> «Прочие затраты» </w:t>
      </w:r>
      <w:r>
        <w:rPr>
          <w:rFonts w:ascii="Times New Roman" w:hAnsi="Times New Roman"/>
          <w:spacing w:val="-1"/>
          <w:sz w:val="28"/>
          <w:szCs w:val="28"/>
        </w:rPr>
        <w:t>приложения к приказу начальника управления от 26.08.2020 г. № 28 читать в новой редакции:</w:t>
      </w:r>
    </w:p>
    <w:bookmarkEnd w:id="0"/>
    <w:p w:rsidR="00686E78" w:rsidRDefault="00686E78" w:rsidP="00686E78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02"/>
        <w:gridCol w:w="1039"/>
        <w:gridCol w:w="2086"/>
        <w:gridCol w:w="1735"/>
        <w:gridCol w:w="1808"/>
      </w:tblGrid>
      <w:tr w:rsidR="001B6255" w:rsidRPr="00392523" w:rsidTr="00F31B82">
        <w:tc>
          <w:tcPr>
            <w:tcW w:w="2902" w:type="dxa"/>
          </w:tcPr>
          <w:p w:rsidR="001B6255" w:rsidRPr="008F61C2" w:rsidRDefault="001B6255" w:rsidP="001B625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единицы не более руб.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B6255" w:rsidRPr="00392523" w:rsidTr="00F31B82">
        <w:tc>
          <w:tcPr>
            <w:tcW w:w="9570" w:type="dxa"/>
            <w:gridSpan w:val="5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(вместе с заместителем руководителя)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92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 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для одежды 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B6255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(рулонные +</w:t>
            </w:r>
          </w:p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нитяные)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F792E" w:rsidRPr="00392523" w:rsidTr="00F31B82">
        <w:tc>
          <w:tcPr>
            <w:tcW w:w="2902" w:type="dxa"/>
          </w:tcPr>
          <w:p w:rsidR="004F792E" w:rsidRPr="00392523" w:rsidRDefault="004F792E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Уничтожитель бумаги</w:t>
            </w:r>
          </w:p>
        </w:tc>
        <w:tc>
          <w:tcPr>
            <w:tcW w:w="1039" w:type="dxa"/>
          </w:tcPr>
          <w:p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013E06" w:rsidRDefault="001B6255" w:rsidP="00F31B82">
            <w:pPr>
              <w:spacing w:before="75" w:after="150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Электрообогреватель</w:t>
            </w:r>
          </w:p>
          <w:p w:rsidR="001B6255" w:rsidRPr="00692CB8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:rsidTr="00F31B82">
        <w:tc>
          <w:tcPr>
            <w:tcW w:w="9570" w:type="dxa"/>
            <w:gridSpan w:val="5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</w:t>
            </w:r>
            <w:proofErr w:type="gramEnd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1 единицы на 1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</w:t>
            </w:r>
            <w:proofErr w:type="spellStart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(рулонные)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сейфа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B6255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:rsidTr="00F31B82">
        <w:tc>
          <w:tcPr>
            <w:tcW w:w="2902" w:type="dxa"/>
          </w:tcPr>
          <w:p w:rsidR="001B6255" w:rsidRPr="00013E06" w:rsidRDefault="001B6255" w:rsidP="00F31B82">
            <w:pPr>
              <w:spacing w:before="75" w:after="150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Электрообогреватель</w:t>
            </w:r>
          </w:p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686E78" w:rsidRDefault="00686E78" w:rsidP="00686E78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F792E" w:rsidRPr="00966E42" w:rsidRDefault="004F792E" w:rsidP="004F792E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подписания.</w:t>
      </w:r>
    </w:p>
    <w:p w:rsidR="00711A43" w:rsidRPr="00966E42" w:rsidRDefault="00711A43" w:rsidP="004F792E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CF7880"/>
    <w:multiLevelType w:val="hybridMultilevel"/>
    <w:tmpl w:val="091A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DAE"/>
    <w:multiLevelType w:val="hybridMultilevel"/>
    <w:tmpl w:val="B6E624D8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844778">
    <w:abstractNumId w:val="3"/>
  </w:num>
  <w:num w:numId="3" w16cid:durableId="1131705483">
    <w:abstractNumId w:val="2"/>
  </w:num>
  <w:num w:numId="4" w16cid:durableId="44158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2C"/>
    <w:rsid w:val="00091285"/>
    <w:rsid w:val="000C112C"/>
    <w:rsid w:val="001A39FB"/>
    <w:rsid w:val="001B6255"/>
    <w:rsid w:val="002E11F9"/>
    <w:rsid w:val="002E4583"/>
    <w:rsid w:val="004F792E"/>
    <w:rsid w:val="0063418B"/>
    <w:rsid w:val="00686E78"/>
    <w:rsid w:val="00711A43"/>
    <w:rsid w:val="0075754A"/>
    <w:rsid w:val="007F74BF"/>
    <w:rsid w:val="008A412B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52658FD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uiPriority w:val="59"/>
    <w:rsid w:val="00686E7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14</cp:revision>
  <cp:lastPrinted>2022-12-02T10:14:00Z</cp:lastPrinted>
  <dcterms:created xsi:type="dcterms:W3CDTF">2018-05-10T04:30:00Z</dcterms:created>
  <dcterms:modified xsi:type="dcterms:W3CDTF">2022-12-20T06:06:00Z</dcterms:modified>
</cp:coreProperties>
</file>