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48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 xml:space="preserve">Тема публикации: </w:t>
      </w:r>
      <w:r>
        <w:rPr>
          <w:rFonts w:ascii="Times New Roman" w:hAnsi="Times New Roman"/>
          <w:b/>
          <w:sz w:val="27"/>
          <w:szCs w:val="27"/>
        </w:rPr>
        <w:t xml:space="preserve">«</w:t>
      </w:r>
      <w:r>
        <w:rPr>
          <w:rFonts w:ascii="Times New Roman" w:hAnsi="Times New Roman"/>
          <w:b/>
          <w:sz w:val="27"/>
          <w:szCs w:val="27"/>
        </w:rPr>
        <w:t xml:space="preserve">О</w:t>
      </w:r>
      <w:r>
        <w:rPr>
          <w:rFonts w:ascii="Times New Roman" w:hAnsi="Times New Roman"/>
          <w:b/>
          <w:bCs/>
          <w:sz w:val="27"/>
          <w:szCs w:val="28"/>
        </w:rPr>
        <w:t xml:space="preserve">собенности заключения организацией договора аренды лесного участка, находящегося в государственной или муниципальной собственности</w:t>
      </w:r>
      <w:r>
        <w:rPr>
          <w:rFonts w:ascii="Times New Roman" w:hAnsi="Times New Roman"/>
          <w:b/>
          <w:sz w:val="27"/>
          <w:szCs w:val="27"/>
        </w:rPr>
        <w:t xml:space="preserve">».</w:t>
      </w:r>
      <w:r>
        <w:rPr>
          <w:rFonts w:ascii="Times New Roman" w:hAnsi="Times New Roman"/>
          <w:b/>
          <w:sz w:val="27"/>
          <w:szCs w:val="28"/>
        </w:rPr>
      </w:r>
      <w:r>
        <w:rPr>
          <w:rFonts w:ascii="Times New Roman" w:hAnsi="Times New Roman"/>
          <w:b/>
          <w:sz w:val="27"/>
          <w:szCs w:val="28"/>
        </w:rPr>
      </w:r>
    </w:p>
    <w:p>
      <w:pPr>
        <w:pStyle w:val="648"/>
        <w:jc w:val="both"/>
        <w:spacing w:after="0" w:line="240" w:lineRule="auto"/>
        <w:tabs>
          <w:tab w:val="left" w:pos="2268" w:leader="none"/>
          <w:tab w:val="left" w:pos="6804" w:leader="none"/>
        </w:tabs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  <w:r>
        <w:rPr>
          <w:rFonts w:ascii="Times New Roman" w:hAnsi="Times New Roman"/>
          <w:b/>
          <w:sz w:val="27"/>
          <w:szCs w:val="27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sz w:val="27"/>
          <w:szCs w:val="28"/>
        </w:rPr>
        <w:t xml:space="preserve">Договор аренды лесного участка, находящегося в государственной или муниципальной собственности, заключается по типовой форме, как правило, по результатам торгов на право заключения такого договора. Конкретные условия договора рассмотрены в обосновании. </w:t>
      </w:r>
      <w:r>
        <w:rPr>
          <w:rFonts w:ascii="Times New Roman" w:hAnsi="Times New Roman"/>
          <w:sz w:val="27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ab/>
        <w:t xml:space="preserve">Предоставление юридическим лицам в аренду лесных участков, находящихся в государственной или муниципальной собственности, </w:t>
      </w:r>
      <w:r>
        <w:rPr>
          <w:rFonts w:ascii="Times New Roman" w:hAnsi="Times New Roman"/>
          <w:sz w:val="27"/>
          <w:szCs w:val="28"/>
        </w:rPr>
        <w:t xml:space="preserve">осуществляется в соответствии с Лесным кодексом РФ (ч. 3 ст. 71 ЛК РФ). К договору аренды лесного участка применяются положения об аренде, предусмотренные Гражданским кодексом РФ и Земельным кодексом РФ, если иное не установлено ЛК РФ (ч. 4 ст. 71 ЛК РФ). </w:t>
      </w:r>
      <w:r>
        <w:rPr>
          <w:rFonts w:ascii="Times New Roman" w:hAnsi="Times New Roman"/>
          <w:sz w:val="27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ab/>
        <w:t xml:space="preserve">По договору аренды лесного участка, находящегося в государственной или муниципальной собственности, арендодатель предоставляет арендатору лесной участок для одной или нескольких целе</w:t>
      </w:r>
      <w:r>
        <w:rPr>
          <w:rFonts w:ascii="Times New Roman" w:hAnsi="Times New Roman"/>
          <w:sz w:val="27"/>
          <w:szCs w:val="28"/>
        </w:rPr>
        <w:t xml:space="preserve">й, предусмотренных ст. 25 ЛК РФ. Объектом аренды могут быть только лесные участки, находящиеся в государственной или муниципальной собственности и прошедшие государственный кадастровый учет. При этом арендатором выступает юридическое лицо, сведения о котор</w:t>
      </w:r>
      <w:r>
        <w:rPr>
          <w:rFonts w:ascii="Times New Roman" w:hAnsi="Times New Roman"/>
          <w:sz w:val="27"/>
          <w:szCs w:val="28"/>
        </w:rPr>
        <w:t xml:space="preserve">ом отсутствуют в реестре недобросовестных арендаторов лесных участков и покупателей лесных насаждений.   </w:t>
      </w:r>
      <w:r>
        <w:rPr>
          <w:rFonts w:ascii="Times New Roman" w:hAnsi="Times New Roman"/>
          <w:sz w:val="27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ab/>
        <w:t xml:space="preserve">  17 типовых договоров аренды лесных участков (в том числе для заготовки древесины, для заготовки живицы</w:t>
      </w:r>
      <w:r>
        <w:rPr>
          <w:rFonts w:ascii="Times New Roman" w:hAnsi="Times New Roman"/>
          <w:sz w:val="27"/>
          <w:szCs w:val="28"/>
        </w:rPr>
        <w:t xml:space="preserve">, для заготовки и сбора недревесных лесных ресурсов, для заготовки пищевых лесных ресурсов и сбора лекарственных растений, для осуществления видов деятельности в сфере охотничьего хозяйства и др.) утверждены Приказом Минприроды России от 30.07.2020 N 542. </w:t>
      </w:r>
      <w:r>
        <w:rPr>
          <w:rFonts w:ascii="Times New Roman" w:hAnsi="Times New Roman"/>
          <w:sz w:val="27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7"/>
          <w:szCs w:val="28"/>
        </w:rPr>
      </w:pPr>
      <w:r>
        <w:rPr>
          <w:sz w:val="27"/>
        </w:rPr>
        <w:tab/>
      </w:r>
      <w:r>
        <w:rPr>
          <w:rFonts w:ascii="Times New Roman" w:hAnsi="Times New Roman"/>
          <w:sz w:val="27"/>
          <w:szCs w:val="28"/>
        </w:rPr>
        <w:t xml:space="preserve">Следует отметить, что предметом договора аренды лесного участка для заготовки древесины не может являться часть этого участка. </w:t>
      </w:r>
      <w:r>
        <w:rPr>
          <w:rFonts w:ascii="Times New Roman" w:hAnsi="Times New Roman"/>
          <w:sz w:val="27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ab/>
        <w:t xml:space="preserve">Для заключения договора без торгов необходимо представить заявление. Если договор будет заключаться первый раз, при необходимости представляются документы, подтверждающие необходимость использования испрашиваемого лесного участка.</w:t>
      </w:r>
      <w:r>
        <w:rPr>
          <w:rFonts w:ascii="Times New Roman" w:hAnsi="Times New Roman"/>
          <w:sz w:val="27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ab/>
        <w:t xml:space="preserve">Договор заключается в письменной форме путем составления одног</w:t>
      </w:r>
      <w:r>
        <w:rPr>
          <w:rFonts w:ascii="Times New Roman" w:hAnsi="Times New Roman"/>
          <w:sz w:val="27"/>
          <w:szCs w:val="28"/>
        </w:rPr>
        <w:t xml:space="preserve">о документа, подписываемого арендодателем и арендатором, в соответствии с типовым договором аренды лесного участка, утвержденным Приказом N 542. Договор аренды лесного участка, заключаемый на срок не менее одного года, подлежит государственной регистрации.</w:t>
      </w:r>
      <w:r>
        <w:rPr>
          <w:rFonts w:ascii="Times New Roman" w:hAnsi="Times New Roman"/>
          <w:sz w:val="27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ab/>
        <w:t xml:space="preserve">По общему правилу договор заключается на срок от 10 до 49 лет. В некоторых случаях данный срок может быть изменен.</w:t>
      </w:r>
      <w:r>
        <w:rPr>
          <w:rFonts w:ascii="Times New Roman" w:hAnsi="Times New Roman"/>
          <w:sz w:val="27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ab/>
        <w:t xml:space="preserve">В договоре указываются его площадь (в га), местоположение, кадастровый номер, категория защитности, вид разрешенного использования. Кром</w:t>
      </w:r>
      <w:r>
        <w:rPr>
          <w:rFonts w:ascii="Times New Roman" w:hAnsi="Times New Roman"/>
          <w:sz w:val="27"/>
          <w:szCs w:val="28"/>
        </w:rPr>
        <w:t xml:space="preserve">е того, к договору прилагаются с</w:t>
      </w:r>
      <w:r>
        <w:rPr>
          <w:rFonts w:ascii="Times New Roman" w:hAnsi="Times New Roman"/>
          <w:sz w:val="27"/>
          <w:szCs w:val="28"/>
        </w:rPr>
        <w:t xml:space="preserve">хема </w:t>
      </w:r>
      <w:r>
        <w:rPr>
          <w:rFonts w:ascii="Times New Roman" w:hAnsi="Times New Roman"/>
          <w:sz w:val="27"/>
          <w:szCs w:val="28"/>
        </w:rPr>
        <w:t xml:space="preserve">расположения и границы лесного участка, а также характеристики лесного участка на день заключения договора, которые являются неотъемлемыми частями договора. Также указываются вид (виды) использования лесов, а также цель передачи арендатору лесного участка.</w:t>
      </w:r>
      <w:r>
        <w:rPr>
          <w:rFonts w:ascii="Times New Roman" w:hAnsi="Times New Roman"/>
          <w:sz w:val="27"/>
          <w:szCs w:val="28"/>
        </w:rPr>
      </w:r>
      <w:r>
        <w:rPr>
          <w:rFonts w:ascii="Times New Roman" w:hAnsi="Times New Roman"/>
          <w:sz w:val="27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</w:pPr>
      <w:r>
        <w:rPr>
          <w:rFonts w:ascii="Times New Roman" w:hAnsi="Times New Roman"/>
          <w:sz w:val="27"/>
          <w:szCs w:val="28"/>
        </w:rPr>
        <w:tab/>
        <w:t xml:space="preserve">Виды разрешенного использования лесных участков должны определяться в соответствии с Классификатором видов разрешенного использования земельных участков</w:t>
      </w:r>
      <w:r>
        <w:rPr>
          <w:rFonts w:ascii="Times New Roman" w:hAnsi="Times New Roman"/>
          <w:sz w:val="27"/>
          <w:szCs w:val="28"/>
        </w:rPr>
        <w:t xml:space="preserve">.</w:t>
      </w:r>
      <w:r>
        <w:t xml:space="preserve"> </w:t>
      </w:r>
      <w:r/>
    </w:p>
    <w:sectPr>
      <w:footerReference w:type="first" r:id="rId8"/>
      <w:footnotePr/>
      <w:endnotePr/>
      <w:type w:val="nextPage"/>
      <w:pgSz w:w="11906" w:h="16838" w:orient="portrait"/>
      <w:pgMar w:top="567" w:right="567" w:bottom="71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5"/>
      <w:spacing w:after="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8"/>
    <w:next w:val="64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8"/>
    <w:next w:val="64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8"/>
    <w:next w:val="64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8"/>
    <w:next w:val="64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8"/>
    <w:next w:val="64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8"/>
    <w:next w:val="64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8"/>
    <w:next w:val="64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8"/>
    <w:next w:val="64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8"/>
    <w:next w:val="64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8"/>
    <w:next w:val="64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48"/>
    <w:next w:val="64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48"/>
    <w:next w:val="64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8"/>
    <w:next w:val="64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8"/>
    <w:link w:val="6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4">
    <w:name w:val="Footer"/>
    <w:basedOn w:val="64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6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4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next w:val="648"/>
    <w:link w:val="648"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649">
    <w:name w:val="Основной шрифт абзаца"/>
    <w:next w:val="649"/>
    <w:link w:val="648"/>
    <w:semiHidden/>
  </w:style>
  <w:style w:type="table" w:styleId="650">
    <w:name w:val="Обычная таблица"/>
    <w:next w:val="650"/>
    <w:link w:val="648"/>
    <w:semiHidden/>
    <w:tblPr/>
  </w:style>
  <w:style w:type="numbering" w:styleId="651">
    <w:name w:val="Нет списка"/>
    <w:next w:val="651"/>
    <w:link w:val="648"/>
    <w:semiHidden/>
  </w:style>
  <w:style w:type="table" w:styleId="652">
    <w:name w:val="Сетка таблицы"/>
    <w:basedOn w:val="650"/>
    <w:next w:val="652"/>
    <w:link w:val="648"/>
    <w:rPr>
      <w:lang w:val="ru-RU" w:eastAsia="ru-RU" w:bidi="ar-SA"/>
    </w:rPr>
    <w:tblPr/>
  </w:style>
  <w:style w:type="paragraph" w:styleId="653">
    <w:name w:val="Верхний колонтитул"/>
    <w:basedOn w:val="648"/>
    <w:next w:val="653"/>
    <w:link w:val="654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4">
    <w:name w:val="Header Char"/>
    <w:basedOn w:val="649"/>
    <w:next w:val="654"/>
    <w:link w:val="653"/>
    <w:rPr>
      <w:rFonts w:cs="Times New Roman"/>
    </w:rPr>
  </w:style>
  <w:style w:type="paragraph" w:styleId="655">
    <w:name w:val="Нижний колонтитул"/>
    <w:basedOn w:val="648"/>
    <w:next w:val="655"/>
    <w:link w:val="65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6">
    <w:name w:val="Footer Char"/>
    <w:basedOn w:val="649"/>
    <w:next w:val="656"/>
    <w:link w:val="655"/>
    <w:rPr>
      <w:rFonts w:cs="Times New Roman"/>
    </w:rPr>
  </w:style>
  <w:style w:type="paragraph" w:styleId="657">
    <w:name w:val="Текст выноски"/>
    <w:basedOn w:val="648"/>
    <w:next w:val="657"/>
    <w:link w:val="658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58">
    <w:name w:val="Balloon Text Char"/>
    <w:basedOn w:val="649"/>
    <w:next w:val="658"/>
    <w:link w:val="657"/>
    <w:semiHidden/>
    <w:rPr>
      <w:rFonts w:ascii="Segoe UI" w:hAnsi="Segoe UI" w:cs="Segoe UI"/>
      <w:sz w:val="18"/>
      <w:szCs w:val="18"/>
    </w:rPr>
  </w:style>
  <w:style w:type="paragraph" w:styleId="659">
    <w:name w:val="Текст.Normal"/>
    <w:next w:val="659"/>
    <w:link w:val="648"/>
    <w:pPr>
      <w:ind w:firstLine="567"/>
      <w:spacing w:line="360" w:lineRule="auto"/>
    </w:pPr>
    <w:rPr>
      <w:rFonts w:ascii="Times New Roman" w:hAnsi="Times New Roman" w:eastAsia="Times New Roman"/>
      <w:sz w:val="28"/>
      <w:lang w:val="ru-RU" w:eastAsia="ru-RU" w:bidi="ar-SA"/>
    </w:rPr>
  </w:style>
  <w:style w:type="paragraph" w:styleId="660">
    <w:name w:val="Обычный (веб)"/>
    <w:basedOn w:val="648"/>
    <w:next w:val="660"/>
    <w:link w:val="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1018" w:default="1">
    <w:name w:val="Default Paragraph Font"/>
    <w:uiPriority w:val="1"/>
    <w:semiHidden/>
    <w:unhideWhenUsed/>
  </w:style>
  <w:style w:type="numbering" w:styleId="1019" w:default="1">
    <w:name w:val="No List"/>
    <w:uiPriority w:val="99"/>
    <w:semiHidden/>
    <w:unhideWhenUsed/>
  </w:style>
  <w:style w:type="table" w:styleId="10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>HP Inc.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Меницкая Анастасия Александровна</dc:creator>
  <cp:revision>3</cp:revision>
  <dcterms:created xsi:type="dcterms:W3CDTF">2023-06-19T04:23:00Z</dcterms:created>
  <dcterms:modified xsi:type="dcterms:W3CDTF">2023-06-21T10:10:13Z</dcterms:modified>
  <cp:version>730895</cp:version>
</cp:coreProperties>
</file>