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3CA" w:rsidRDefault="008E53CA">
      <w:pPr>
        <w:spacing w:after="0" w:line="288" w:lineRule="atLeast"/>
        <w:ind w:firstLine="567"/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p w:rsidR="008E53CA" w:rsidRDefault="0083252B">
      <w:pPr>
        <w:spacing w:after="0" w:line="288" w:lineRule="atLeas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Тема: «Разработаны новые ГОСТы в сфере охраны атмосферного воздуха»</w:t>
      </w:r>
    </w:p>
    <w:p w:rsidR="008E53CA" w:rsidRDefault="008E53CA">
      <w:pPr>
        <w:spacing w:after="0" w:line="288" w:lineRule="atLeast"/>
        <w:ind w:firstLine="567"/>
        <w:jc w:val="both"/>
        <w:rPr>
          <w:rFonts w:ascii="Times New Roman" w:hAnsi="Times New Roman"/>
          <w:sz w:val="28"/>
        </w:rPr>
      </w:pPr>
    </w:p>
    <w:p w:rsidR="008E53CA" w:rsidRDefault="0083252B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Российской Федерации разработаны и утверждены следующие национальные стандарты, регулирующие вопросы, связанные с системами автоматического контроля выбросов и сбросов:</w:t>
      </w:r>
    </w:p>
    <w:p w:rsidR="008E53CA" w:rsidRDefault="0083252B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ГО</w:t>
      </w:r>
      <w:r>
        <w:rPr>
          <w:rFonts w:ascii="Times New Roman" w:hAnsi="Times New Roman"/>
          <w:sz w:val="28"/>
        </w:rPr>
        <w:t>СТ Р 72279-2025 «Системы автоматического контроля выбросов и сбросов. Электронные пломбы. Основные требования»;</w:t>
      </w:r>
    </w:p>
    <w:p w:rsidR="008E53CA" w:rsidRDefault="0083252B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ГОСТ Р 72287-2025 «Системы автоматического контроля выбросов и сбросов. Информационные знаки и указатели»;</w:t>
      </w:r>
      <w:r>
        <w:rPr>
          <w:rFonts w:ascii="Times New Roman" w:hAnsi="Times New Roman"/>
          <w:sz w:val="28"/>
        </w:rPr>
        <w:br/>
        <w:t>- ГОСТ Р 72288-2025 «Системы автома</w:t>
      </w:r>
      <w:r>
        <w:rPr>
          <w:rFonts w:ascii="Times New Roman" w:hAnsi="Times New Roman"/>
          <w:sz w:val="28"/>
        </w:rPr>
        <w:t>тического контроля выбросов и сбросов. Блок-контейнер. Основные требования».</w:t>
      </w:r>
    </w:p>
    <w:p w:rsidR="008E53CA" w:rsidRDefault="0083252B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Применение данных стандартов вступает в силу с 01 октября 2026 года и распространяется на процессы создания и эксплуатации указанных систем.</w:t>
      </w:r>
    </w:p>
    <w:p w:rsidR="008E53CA" w:rsidRDefault="0083252B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положениями пункта 9 </w:t>
      </w:r>
      <w:r>
        <w:rPr>
          <w:rFonts w:ascii="Times New Roman" w:hAnsi="Times New Roman"/>
          <w:sz w:val="28"/>
        </w:rPr>
        <w:t>статьи 67 Федерального закона от 10.01.2002 № 7-ФЗ «Об охране окружающей среды», стационарные источники выбросов и сбросов на объектах I категории подлежат обязательному оснащению системами автоматического контроля.</w:t>
      </w:r>
    </w:p>
    <w:p w:rsidR="008E53CA" w:rsidRDefault="0083252B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Основанием для реализации данного требов</w:t>
      </w:r>
      <w:r>
        <w:rPr>
          <w:rFonts w:ascii="Times New Roman" w:hAnsi="Times New Roman"/>
          <w:sz w:val="28"/>
        </w:rPr>
        <w:t>ания служит утвержденная программа создания соответствующей системы.</w:t>
      </w:r>
    </w:p>
    <w:p w:rsidR="008E53CA" w:rsidRDefault="0083252B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внедрения такой системы ограничен четырьмя годами с момента выдачи или актуализации комплексного экологического разрешения.</w:t>
      </w:r>
    </w:p>
    <w:p w:rsidR="008E53CA" w:rsidRDefault="0083252B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организаций, оформивших комплексное экологическое разр</w:t>
      </w:r>
      <w:r>
        <w:rPr>
          <w:rFonts w:ascii="Times New Roman" w:hAnsi="Times New Roman"/>
          <w:sz w:val="28"/>
        </w:rPr>
        <w:t>ешение до 1 сентября 2022 года, предусмотрено увеличение данного срока на два года, что регламентируется пунктом 3 статьи 85 упомянутого Федерального закона.</w:t>
      </w:r>
    </w:p>
    <w:p w:rsidR="008E53CA" w:rsidRDefault="0083252B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Отдельное внимание следует уделить тому факту, что при планировании реконструкции источников, подл</w:t>
      </w:r>
      <w:r>
        <w:rPr>
          <w:rFonts w:ascii="Times New Roman" w:hAnsi="Times New Roman"/>
          <w:sz w:val="28"/>
        </w:rPr>
        <w:t>ежащих оснащению системами контроля, в рамках программы повышения экологической эффективности, сроки монтажа систем определяются с учетом сроков реализации данных реконструкционных мероприятий.</w:t>
      </w:r>
    </w:p>
    <w:p w:rsidR="008E53CA" w:rsidRDefault="008E53CA">
      <w:pPr>
        <w:spacing w:after="0"/>
        <w:ind w:firstLine="567"/>
        <w:jc w:val="both"/>
        <w:rPr>
          <w:rFonts w:ascii="Times New Roman" w:hAnsi="Times New Roman"/>
          <w:sz w:val="28"/>
        </w:rPr>
      </w:pPr>
    </w:p>
    <w:sectPr w:rsidR="008E53CA">
      <w:footerReference w:type="first" r:id="rId6"/>
      <w:pgSz w:w="11906" w:h="16838"/>
      <w:pgMar w:top="454" w:right="567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52B" w:rsidRDefault="0083252B">
      <w:pPr>
        <w:spacing w:after="0" w:line="240" w:lineRule="auto"/>
      </w:pPr>
      <w:r>
        <w:separator/>
      </w:r>
    </w:p>
  </w:endnote>
  <w:endnote w:type="continuationSeparator" w:id="0">
    <w:p w:rsidR="0083252B" w:rsidRDefault="00832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margin" w:tblpXSpec="right" w:tblpYSpec="outside"/>
      <w:tblW w:w="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8E53CA">
      <w:trPr>
        <w:trHeight w:val="57"/>
      </w:trPr>
      <w:tc>
        <w:tcPr>
          <w:tcW w:w="36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8E53CA" w:rsidRDefault="0083252B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:rsidR="008E53CA" w:rsidRDefault="0083252B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рег.номер</w:t>
          </w:r>
          <w:bookmarkEnd w:id="2"/>
          <w:proofErr w:type="spellEnd"/>
        </w:p>
      </w:tc>
    </w:tr>
  </w:tbl>
  <w:p w:rsidR="008E53CA" w:rsidRDefault="008E53CA">
    <w:pPr>
      <w:pStyle w:val="a3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52B" w:rsidRDefault="0083252B">
      <w:pPr>
        <w:spacing w:after="0" w:line="240" w:lineRule="auto"/>
      </w:pPr>
      <w:r>
        <w:separator/>
      </w:r>
    </w:p>
  </w:footnote>
  <w:footnote w:type="continuationSeparator" w:id="0">
    <w:p w:rsidR="0083252B" w:rsidRDefault="008325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3CA"/>
    <w:rsid w:val="00261E4D"/>
    <w:rsid w:val="0083252B"/>
    <w:rsid w:val="008E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381E3-BB7B-4359-8814-6136C1F2F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Normal">
    <w:name w:val="Текст.Normal"/>
    <w:link w:val="Normal0"/>
    <w:pPr>
      <w:spacing w:after="0" w:line="360" w:lineRule="auto"/>
      <w:ind w:firstLine="567"/>
    </w:pPr>
    <w:rPr>
      <w:rFonts w:ascii="Times New Roman" w:hAnsi="Times New Roman"/>
      <w:sz w:val="28"/>
    </w:rPr>
  </w:style>
  <w:style w:type="character" w:customStyle="1" w:styleId="Normal0">
    <w:name w:val="Текст.Normal"/>
    <w:link w:val="Normal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a3"/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</w:style>
  <w:style w:type="paragraph" w:styleId="a5">
    <w:name w:val="Balloon Text"/>
    <w:basedOn w:val="a"/>
    <w:link w:val="a6"/>
    <w:pPr>
      <w:spacing w:after="0" w:line="240" w:lineRule="auto"/>
    </w:pPr>
    <w:rPr>
      <w:rFonts w:ascii="Segoe UI" w:hAnsi="Segoe UI"/>
      <w:sz w:val="18"/>
    </w:rPr>
  </w:style>
  <w:style w:type="character" w:customStyle="1" w:styleId="a6">
    <w:name w:val="Текст выноски Знак"/>
    <w:basedOn w:val="1"/>
    <w:link w:val="a5"/>
    <w:rPr>
      <w:rFonts w:ascii="Segoe UI" w:hAnsi="Segoe UI"/>
      <w:sz w:val="1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8">
    <w:name w:val="annotation subject"/>
    <w:basedOn w:val="a9"/>
    <w:next w:val="a9"/>
    <w:link w:val="aa"/>
    <w:rPr>
      <w:b/>
    </w:rPr>
  </w:style>
  <w:style w:type="character" w:customStyle="1" w:styleId="aa">
    <w:name w:val="Тема примечания Знак"/>
    <w:basedOn w:val="ab"/>
    <w:link w:val="a8"/>
    <w:rPr>
      <w:b/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1"/>
    <w:link w:val="ac"/>
  </w:style>
  <w:style w:type="paragraph" w:styleId="a9">
    <w:name w:val="annotation text"/>
    <w:basedOn w:val="a"/>
    <w:link w:val="ab"/>
    <w:pPr>
      <w:spacing w:line="240" w:lineRule="auto"/>
    </w:pPr>
    <w:rPr>
      <w:sz w:val="20"/>
    </w:rPr>
  </w:style>
  <w:style w:type="character" w:customStyle="1" w:styleId="ab">
    <w:name w:val="Текст примечания Знак"/>
    <w:basedOn w:val="1"/>
    <w:link w:val="a9"/>
    <w:rPr>
      <w:sz w:val="20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6">
    <w:name w:val="Знак примечания1"/>
    <w:basedOn w:val="12"/>
    <w:link w:val="af2"/>
    <w:rPr>
      <w:sz w:val="16"/>
    </w:rPr>
  </w:style>
  <w:style w:type="character" w:styleId="af2">
    <w:name w:val="annotation reference"/>
    <w:basedOn w:val="a0"/>
    <w:link w:val="16"/>
    <w:rPr>
      <w:sz w:val="16"/>
    </w:rPr>
  </w:style>
  <w:style w:type="table" w:styleId="af3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 Nikolaevich Svechnikov</dc:creator>
  <cp:lastModifiedBy>Viktor Nikolaevich Svechnikov</cp:lastModifiedBy>
  <cp:revision>2</cp:revision>
  <dcterms:created xsi:type="dcterms:W3CDTF">2026-08-04T03:21:00Z</dcterms:created>
  <dcterms:modified xsi:type="dcterms:W3CDTF">2026-08-04T03:21:00Z</dcterms:modified>
</cp:coreProperties>
</file>