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687" w:vertAnchor="page" w:tblpY="511" w:leftFromText="0" w:topFromText="0" w:rightFromText="0" w:bottomFromText="0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1"/>
      </w:tblGrid>
      <w:tr>
        <w:trPr>
          <w:cantSplit/>
          <w:trHeight w:val="454"/>
        </w:trPr>
        <w:tc>
          <w:tcPr>
            <w:tcW w:w="1581" w:type="dxa"/>
            <w:textDirection w:val="lrTb"/>
            <w:noWrap/>
          </w:tcPr>
          <w:p>
            <w:r/>
            <w:r/>
          </w:p>
        </w:tc>
      </w:tr>
    </w:tbl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sz w:val="28"/>
          <w:szCs w:val="28"/>
        </w:rPr>
      </w:pPr>
      <w:r/>
      <w:bookmarkStart w:id="2" w:name="_GoBack"/>
      <w:r/>
      <w:bookmarkEnd w:id="2"/>
      <w:r>
        <w:rPr>
          <w:rFonts w:ascii="Times New Roman" w:hAnsi="Times New Roman"/>
          <w:b/>
          <w:sz w:val="28"/>
          <w:szCs w:val="28"/>
        </w:rPr>
        <w:t xml:space="preserve">Тема публикации: </w:t>
      </w:r>
      <w:r>
        <w:rPr>
          <w:rFonts w:ascii="Times New Roman" w:hAnsi="Times New Roman"/>
          <w:b/>
          <w:sz w:val="27"/>
          <w:szCs w:val="27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Правила и требования при осуществлении гражданами любительского рыболовства</w:t>
      </w:r>
      <w:r>
        <w:rPr>
          <w:rFonts w:ascii="Times New Roman" w:hAnsi="Times New Roman"/>
          <w:b/>
          <w:sz w:val="27"/>
          <w:szCs w:val="27"/>
        </w:rPr>
        <w:t xml:space="preserve">».</w:t>
      </w:r>
      <w:r/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положениями </w:t>
      </w:r>
      <w:r>
        <w:rPr>
          <w:rFonts w:ascii="Times New Roman" w:hAnsi="Times New Roman"/>
          <w:sz w:val="28"/>
          <w:szCs w:val="28"/>
        </w:rPr>
        <w:t xml:space="preserve">Федерального закона «О рыболовстве и сохранении водных биологических ресурсов" граждане могут осуществлять, в частности любительское рыболовство.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 xml:space="preserve">любительским рыболовством понимается деятельность по добыче (вылову) водных биологических ресурсов,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Любительское рыболовство осуществляется гражданами Российской Федерации свободно и бесплатно на водных объектах общего пользования в соответствии с правилами рыболовства, за исключением случаев, предусмотренных федеральными законами.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вылов водных биологических ресурсов на водных объектах,</w:t>
      </w:r>
      <w:r>
        <w:rPr>
          <w:rFonts w:ascii="Times New Roman" w:hAnsi="Times New Roman"/>
          <w:sz w:val="28"/>
          <w:szCs w:val="28"/>
        </w:rPr>
        <w:t xml:space="preserve"> которые находятся в собственности граждан или юридических лиц, может устанавливаться плата. При этом заниматься рыболовством на рыболовных (рыбопромысловых) участках, предоставленных в пользование юридическому лицу или ИП для организации рыболовства, граж</w:t>
      </w:r>
      <w:r>
        <w:rPr>
          <w:rFonts w:ascii="Times New Roman" w:hAnsi="Times New Roman"/>
          <w:sz w:val="28"/>
          <w:szCs w:val="28"/>
        </w:rPr>
        <w:t xml:space="preserve">дане могут при наличии путевки. Этот документ подтверждает заключение договора возмездного оказания услуг в области рыболовства и содержит срок ее действия, согласованный для вылова объем водных биоресурсов, район вылова в пределах участка и орудия вылова.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Осуществление любительского рыболовства м</w:t>
      </w:r>
      <w:r>
        <w:rPr>
          <w:rFonts w:ascii="Times New Roman" w:hAnsi="Times New Roman"/>
          <w:sz w:val="28"/>
          <w:szCs w:val="28"/>
        </w:rPr>
        <w:t xml:space="preserve">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Также рыболовство запрещено на следующих водных объектах: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на обводненных карьерах и прудах (в т</w:t>
      </w:r>
      <w:r>
        <w:rPr>
          <w:rFonts w:ascii="Times New Roman" w:hAnsi="Times New Roman"/>
          <w:sz w:val="28"/>
          <w:szCs w:val="28"/>
        </w:rPr>
        <w:t xml:space="preserve">ом числе образованных водоподпорными сооружениями на водотоках), используемых для прудовой аквакультуры и не находящихся в собственности граждан или юридических лиц, а также на водных объектах, используемых в процессе функционирования мелиоративных систем;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иных водных объектах, предоставленных для товарного рыбоводства, за исключением случаев, когда на указанных объектах допускается осуществлять добычу (вылов) водных животных и растений, не являющихся объектами аквакультуры.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Добыча (вылов) водных биоресурсов разрешается в размере не более одной суточной нормы при пребывании на водном объекте в течение одних суток. В случае пребывания на водном объекте боле</w:t>
      </w:r>
      <w:r>
        <w:rPr>
          <w:rFonts w:ascii="Times New Roman" w:hAnsi="Times New Roman"/>
          <w:sz w:val="28"/>
          <w:szCs w:val="28"/>
        </w:rPr>
        <w:t xml:space="preserve">е одних суток, независимо от дальнейшего времени пребывания на водном объекте, величина добытых (выловленных) водных биоресурсов разрешается в размере не более двух суточных норм добычи (вылова). При этом добытые водные биоресурсы учитываются в любом виде.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Существуют ограничения в целях обеспечения сохранения водных биоресурсов.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Так, в общем случае запр</w:t>
      </w:r>
      <w:r>
        <w:rPr>
          <w:rFonts w:ascii="Times New Roman" w:hAnsi="Times New Roman"/>
          <w:sz w:val="28"/>
          <w:szCs w:val="28"/>
        </w:rPr>
        <w:t xml:space="preserve">ещен вылов редких и находящихся под угрозой исчезновения видов водных биологических ресурсов, занесенных в Красную книгу РФ и (или) Красную книгу субъекта РФ. К таким видам относится, например, сибирский осетр (за исключением популяций бассейна реки Лены).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обеспечения сохранения водных биоресурсов и их рационального использования могут устанавливаться, в частности, следующие ограничения любительского рыболовства: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запрет и закрытие рыболовства в определенных районах и в отношении отдельных видов водных биоресурсов;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ограничение видов и количества разрешаемых орудий и способов вылова, размера ячеи орудий вылова, размера и конструкции орудий вылова;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запрет рыболовства с использованием взрывчатых и химических веществ, а также электротока;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запрет использования сетей, за некоторым исключением;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5) суточная норма вылова. 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</w:t>
      </w:r>
      <w:r>
        <w:rPr>
          <w:rFonts w:ascii="Times New Roman" w:hAnsi="Times New Roman"/>
          <w:sz w:val="28"/>
          <w:szCs w:val="28"/>
        </w:rPr>
        <w:t xml:space="preserve">1 марта 2023 года вступ</w:t>
      </w:r>
      <w:r>
        <w:rPr>
          <w:rFonts w:ascii="Times New Roman" w:hAnsi="Times New Roman"/>
          <w:sz w:val="28"/>
          <w:szCs w:val="28"/>
        </w:rPr>
        <w:t xml:space="preserve">ил</w:t>
      </w:r>
      <w:r>
        <w:rPr>
          <w:rFonts w:ascii="Times New Roman" w:hAnsi="Times New Roman"/>
          <w:sz w:val="28"/>
          <w:szCs w:val="28"/>
        </w:rPr>
        <w:t xml:space="preserve"> в силу приказ Минсельхоза РФ «Об утверждении правил рыболовства для Волжско-Каспийского рыбохозяйственного бассейна», которы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устан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вл</w:t>
      </w:r>
      <w:r>
        <w:rPr>
          <w:rFonts w:ascii="Times New Roman" w:hAnsi="Times New Roman"/>
          <w:sz w:val="28"/>
          <w:szCs w:val="28"/>
        </w:rPr>
        <w:t xml:space="preserve">ены</w:t>
      </w:r>
      <w:r>
        <w:rPr>
          <w:rFonts w:ascii="Times New Roman" w:hAnsi="Times New Roman"/>
          <w:sz w:val="28"/>
          <w:szCs w:val="28"/>
        </w:rPr>
        <w:t xml:space="preserve"> виды рыболовства, ограничения, запреты, определения, количество допустимых орудий, способы добычи и суточные нормы вылова.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</w:t>
      </w:r>
      <w:r>
        <w:rPr>
          <w:rFonts w:ascii="Times New Roman" w:hAnsi="Times New Roman"/>
          <w:sz w:val="28"/>
          <w:szCs w:val="28"/>
        </w:rPr>
        <w:t xml:space="preserve">равилами установлены запретные сроки (периоды) добычи (вылова) водных биоресурсов на территории Оренбургской области: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Запрещается добыча (вылов):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 25 апреля по 10 июня - всеми орудиями добычи (вылова), за исключением одной поплавочной или донной удочкой с берега с общим количеством крючков не более двух штук на орудиях добычи (вылова) у одного гражданина;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 1 по 15 мая - на озерах Светлинского района;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 25 октября по 25 ноября - сиговых видов рыб на Ириклинском водохранилище;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 5 июня по 15 июля - раков в водных объектах рыбохозяйственного значения Светлинского и </w:t>
      </w:r>
      <w:r>
        <w:rPr>
          <w:rFonts w:ascii="Times New Roman" w:hAnsi="Times New Roman"/>
          <w:sz w:val="28"/>
          <w:szCs w:val="28"/>
        </w:rPr>
        <w:t xml:space="preserve">Ясенского</w:t>
      </w:r>
      <w:r>
        <w:rPr>
          <w:rFonts w:ascii="Times New Roman" w:hAnsi="Times New Roman"/>
          <w:sz w:val="28"/>
          <w:szCs w:val="28"/>
        </w:rPr>
        <w:t xml:space="preserve"> районов;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 15 июня по 10 августа - раков в других водных объектах рыбохозяйственного значения области.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</w:pPr>
      <w:r>
        <w:tab/>
      </w:r>
      <w:r>
        <w:rPr>
          <w:rFonts w:ascii="Times New Roman" w:hAnsi="Times New Roman"/>
          <w:sz w:val="28"/>
          <w:szCs w:val="28"/>
        </w:rPr>
        <w:t xml:space="preserve">Нарушение правил любительского рыболовства может повлечь административную и уголовную ответственность. При этом при</w:t>
      </w:r>
      <w:r>
        <w:rPr>
          <w:rFonts w:ascii="Times New Roman" w:hAnsi="Times New Roman"/>
          <w:sz w:val="28"/>
          <w:szCs w:val="28"/>
        </w:rPr>
        <w:t xml:space="preserve">чиненный водным биоресурсам вред должен быть возмещен в добровольном порядке или на основании решения суда. Незаконно добытые (выловленные) водные биоресурсы и рыбная продукция из них подлежат безвозмездному изъятию или конфискации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sectPr>
      <w:footerReference w:type="first" r:id="rId8"/>
      <w:footnotePr/>
      <w:endnotePr/>
      <w:type w:val="nextPage"/>
      <w:pgSz w:w="11906" w:h="16838" w:orient="portrait"/>
      <w:pgMar w:top="568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4"/>
    <w:uiPriority w:val="99"/>
  </w:style>
  <w:style w:type="character" w:styleId="45">
    <w:name w:val="Footer Char"/>
    <w:basedOn w:val="670"/>
    <w:link w:val="67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670" w:default="1">
    <w:name w:val="Default Paragraph Font"/>
    <w:semiHidden/>
  </w:style>
  <w:style w:type="table" w:styleId="67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semiHidden/>
  </w:style>
  <w:style w:type="table" w:styleId="673">
    <w:name w:val="Table Grid"/>
    <w:basedOn w:val="671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Header"/>
    <w:basedOn w:val="669"/>
    <w:link w:val="67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70"/>
    <w:link w:val="674"/>
    <w:rPr>
      <w:rFonts w:cs="Times New Roman"/>
    </w:rPr>
  </w:style>
  <w:style w:type="paragraph" w:styleId="676">
    <w:name w:val="Footer"/>
    <w:basedOn w:val="669"/>
    <w:link w:val="67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70"/>
    <w:link w:val="676"/>
    <w:rPr>
      <w:rFonts w:cs="Times New Roman"/>
    </w:rPr>
  </w:style>
  <w:style w:type="paragraph" w:styleId="678">
    <w:name w:val="Balloon Text"/>
    <w:basedOn w:val="669"/>
    <w:link w:val="67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0"/>
    <w:link w:val="678"/>
    <w:semiHidden/>
    <w:rPr>
      <w:rFonts w:ascii="Segoe UI" w:hAnsi="Segoe UI" w:cs="Segoe UI"/>
      <w:sz w:val="18"/>
      <w:szCs w:val="18"/>
    </w:rPr>
  </w:style>
  <w:style w:type="paragraph" w:styleId="680" w:customStyle="1">
    <w:name w:val="Текст.Normal"/>
    <w:pPr>
      <w:ind w:firstLine="567"/>
      <w:spacing w:line="360" w:lineRule="auto"/>
    </w:pPr>
    <w:rPr>
      <w:rFonts w:ascii="Times New Roman" w:hAnsi="Times New Roman"/>
      <w:sz w:val="28"/>
    </w:rPr>
  </w:style>
  <w:style w:type="paragraph" w:styleId="681">
    <w:name w:val="Normal (Web)"/>
    <w:basedOn w:val="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Меницкая Анастасия Александровна</dc:creator>
  <cp:keywords/>
  <dc:description/>
  <cp:revision>3</cp:revision>
  <dcterms:created xsi:type="dcterms:W3CDTF">2023-04-24T09:08:00Z</dcterms:created>
  <dcterms:modified xsi:type="dcterms:W3CDTF">2023-04-27T11:37:51Z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